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C70" w:rsidRDefault="00D04C8E">
      <w:pPr>
        <w:jc w:val="center"/>
        <w:rPr>
          <w:rFonts w:hint="eastAsia"/>
        </w:rPr>
      </w:pPr>
      <w:r>
        <w:rPr>
          <w:rFonts w:ascii="Aptos Display" w:hAnsi="Aptos Display"/>
          <w:b/>
          <w:color w:val="D6007F"/>
          <w:sz w:val="92"/>
        </w:rPr>
        <w:t>S</w:t>
      </w:r>
      <w:r w:rsidR="00C44E33" w:rsidRPr="00C44E33">
        <w:rPr>
          <w:rFonts w:ascii="Aptos Display" w:hAnsi="Aptos Display"/>
          <w:color w:val="D6007F"/>
          <w:sz w:val="92"/>
        </w:rPr>
        <w:t>oftwhere</w:t>
      </w:r>
      <w:r w:rsidR="00C44E33">
        <w:rPr>
          <w:rFonts w:ascii="Aptos Display" w:hAnsi="Aptos Display"/>
          <w:b/>
          <w:color w:val="D6007F"/>
          <w:sz w:val="92"/>
        </w:rPr>
        <w:t xml:space="preserve"> </w:t>
      </w:r>
      <w:r>
        <w:rPr>
          <w:rFonts w:ascii="Aptos Display" w:hAnsi="Aptos Display"/>
          <w:b/>
          <w:color w:val="D6007F"/>
          <w:sz w:val="92"/>
        </w:rPr>
        <w:t>I</w:t>
      </w:r>
      <w:r w:rsidR="00C44E33" w:rsidRPr="00C44E33">
        <w:rPr>
          <w:rFonts w:ascii="Aptos Display" w:hAnsi="Aptos Display"/>
          <w:color w:val="D6007F"/>
          <w:sz w:val="92"/>
        </w:rPr>
        <w:t>ntelligent</w:t>
      </w:r>
      <w:r w:rsidR="00C44E33">
        <w:rPr>
          <w:rFonts w:ascii="Aptos Display" w:hAnsi="Aptos Display"/>
          <w:b/>
          <w:color w:val="D6007F"/>
          <w:sz w:val="92"/>
        </w:rPr>
        <w:t xml:space="preserve"> </w:t>
      </w:r>
      <w:r>
        <w:rPr>
          <w:rFonts w:ascii="Aptos Display" w:hAnsi="Aptos Display"/>
          <w:b/>
          <w:color w:val="D6007F"/>
          <w:sz w:val="92"/>
        </w:rPr>
        <w:t>S</w:t>
      </w:r>
      <w:r w:rsidR="00C44E33" w:rsidRPr="00C44E33">
        <w:rPr>
          <w:rFonts w:ascii="Aptos Display" w:hAnsi="Aptos Display"/>
          <w:color w:val="D6007F"/>
          <w:sz w:val="92"/>
        </w:rPr>
        <w:t>ervice</w:t>
      </w:r>
      <w:r w:rsidR="00C44E33">
        <w:rPr>
          <w:rFonts w:ascii="Aptos Display" w:hAnsi="Aptos Display"/>
          <w:b/>
          <w:color w:val="D6007F"/>
          <w:sz w:val="92"/>
        </w:rPr>
        <w:t xml:space="preserve"> </w:t>
      </w:r>
      <w:r>
        <w:rPr>
          <w:rFonts w:ascii="Aptos Display" w:hAnsi="Aptos Display"/>
          <w:b/>
          <w:color w:val="D6007F"/>
          <w:sz w:val="92"/>
        </w:rPr>
        <w:t>O</w:t>
      </w:r>
      <w:r w:rsidR="00C44E33" w:rsidRPr="00C44E33">
        <w:rPr>
          <w:rFonts w:ascii="Aptos Display" w:hAnsi="Aptos Display"/>
          <w:color w:val="D6007F"/>
          <w:sz w:val="92"/>
        </w:rPr>
        <w:t>rchestrator</w:t>
      </w:r>
    </w:p>
    <w:p w:rsidR="00590C70" w:rsidRDefault="00D04C8E">
      <w:pPr>
        <w:jc w:val="center"/>
        <w:rPr>
          <w:rFonts w:hint="eastAsia"/>
        </w:rPr>
      </w:pPr>
      <w:r>
        <w:rPr>
          <w:b/>
          <w:color w:val="1B1B1F"/>
          <w:sz w:val="50"/>
        </w:rPr>
        <w:t>Architecture fonctionnelle et modulaire</w:t>
      </w:r>
    </w:p>
    <w:p w:rsidR="00590C70" w:rsidRDefault="00D04C8E">
      <w:pPr>
        <w:pStyle w:val="Lead"/>
        <w:jc w:val="center"/>
        <w:rPr>
          <w:rFonts w:hint="eastAsia"/>
        </w:rPr>
      </w:pPr>
      <w:r>
        <w:t>Refonte de l’extranet SoftWhere et de l’intranet Mobilité vers une plateforme SaaS multientité</w:t>
      </w:r>
    </w:p>
    <w:p w:rsidR="00590C70" w:rsidRDefault="00590C70">
      <w:pPr>
        <w:rPr>
          <w:rFonts w:hint="eastAsia"/>
        </w:rPr>
      </w:pPr>
    </w:p>
    <w:p w:rsidR="00590C70" w:rsidRDefault="00D04C8E">
      <w:pPr>
        <w:keepLines/>
        <w:jc w:val="center"/>
        <w:rPr>
          <w:rFonts w:hint="eastAsia"/>
        </w:rPr>
      </w:pPr>
      <w:r>
        <w:rPr>
          <w:noProof/>
          <w:lang w:val="fr-FR" w:eastAsia="fr-FR"/>
        </w:rPr>
        <w:drawing>
          <wp:inline distT="0" distB="0" distL="0" distR="0">
            <wp:extent cx="8961120" cy="23966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_global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61120" cy="2396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C70" w:rsidRDefault="00D04C8E">
      <w:pPr>
        <w:pStyle w:val="Small"/>
        <w:jc w:val="center"/>
        <w:rPr>
          <w:rFonts w:hint="eastAsia"/>
        </w:rPr>
      </w:pPr>
      <w:r>
        <w:t>Document de travail destiné à Nicolas — Version 1.0 — 21 juillet 2026</w:t>
      </w:r>
    </w:p>
    <w:p w:rsidR="00590C70" w:rsidRDefault="00D04C8E">
      <w:pPr>
        <w:rPr>
          <w:rFonts w:hint="eastAsia"/>
        </w:rPr>
      </w:pPr>
      <w:r>
        <w:br w:type="page"/>
      </w:r>
    </w:p>
    <w:p w:rsidR="00590C70" w:rsidRDefault="00D04C8E">
      <w:pPr>
        <w:pStyle w:val="Titre1"/>
      </w:pPr>
      <w:r>
        <w:lastRenderedPageBreak/>
        <w:t>1. Objet du document</w:t>
      </w:r>
    </w:p>
    <w:p w:rsidR="00590C70" w:rsidRDefault="00D04C8E">
      <w:pPr>
        <w:pStyle w:val="Lead"/>
        <w:rPr>
          <w:rFonts w:hint="eastAsia"/>
        </w:rPr>
      </w:pPr>
      <w:r>
        <w:t xml:space="preserve">Ce document </w:t>
      </w:r>
      <w:r>
        <w:t>constitue la base commune de compréhension avant la conception détaillée, la base de données et les écrans.</w:t>
      </w:r>
    </w:p>
    <w:tbl>
      <w:tblPr>
        <w:tblW w:w="0" w:type="auto"/>
        <w:jc w:val="center"/>
        <w:tblLayout w:type="fixed"/>
        <w:tblLook w:val="04A0"/>
      </w:tblPr>
      <w:tblGrid>
        <w:gridCol w:w="13912"/>
      </w:tblGrid>
      <w:tr w:rsidR="00590C70">
        <w:trPr>
          <w:jc w:val="center"/>
        </w:trPr>
        <w:tc>
          <w:tcPr>
            <w:tcW w:w="13912" w:type="dxa"/>
            <w:shd w:val="clear" w:color="auto" w:fill="FCE7F3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D6007F"/>
              </w:rPr>
              <w:t xml:space="preserve">Vision — </w:t>
            </w:r>
            <w:r>
              <w:rPr>
                <w:color w:val="1B1B1F"/>
              </w:rPr>
              <w:t>SISO doit devenir le référentiel central reliant le client, ses sites, ses services, sa facturation, les achats fournisseurs, les déploieme</w:t>
            </w:r>
            <w:r>
              <w:rPr>
                <w:color w:val="1B1B1F"/>
              </w:rPr>
              <w:t>nts et les communications.</w:t>
            </w:r>
          </w:p>
        </w:tc>
      </w:tr>
    </w:tbl>
    <w:p w:rsidR="00590C70" w:rsidRDefault="00590C70">
      <w:pPr>
        <w:rPr>
          <w:rFonts w:hint="eastAsia"/>
        </w:rPr>
      </w:pPr>
    </w:p>
    <w:p w:rsidR="00590C70" w:rsidRDefault="00D04C8E">
      <w:pPr>
        <w:rPr>
          <w:rFonts w:hint="eastAsia"/>
        </w:rPr>
      </w:pPr>
      <w:r>
        <w:t>Le projet vise à remplacer progressivement deux outils existants : l’extranet SoftWhere et l’intranet Mobilité. La refonte ne doit pas être une simple reproduction des écrans actuels. Elle doit créer une architecture modulaire,</w:t>
      </w:r>
      <w:r>
        <w:t xml:space="preserve"> évolutive et exploitable en mode SaaS ou marque blanche.</w:t>
      </w:r>
    </w:p>
    <w:p w:rsidR="00590C70" w:rsidRDefault="00D04C8E">
      <w:pPr>
        <w:pStyle w:val="Titre2"/>
      </w:pPr>
      <w:r>
        <w:t>Priorité n°1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Construire un parc en temps réel représentant ce que le client voit réellement sur ses factures.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Corréler chaque service vendu avec la facturation client et les achats fournisseurs.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Dét</w:t>
      </w:r>
      <w:r>
        <w:t>ecter les écarts : services non facturés, achats non refacturés, résiliations encore facturées, tarifs ou quantités incorrects.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Préparer les futurs modules sans dupliquer les référentiels clients, contacts, sites et services.</w:t>
      </w:r>
    </w:p>
    <w:p w:rsidR="00590C70" w:rsidRDefault="00D04C8E">
      <w:pPr>
        <w:pStyle w:val="Titre2"/>
      </w:pPr>
      <w:r>
        <w:t>Résultat attendu du premier lo</w:t>
      </w:r>
      <w:r>
        <w:t>t</w:t>
      </w:r>
    </w:p>
    <w:p w:rsidR="00590C70" w:rsidRDefault="00D04C8E">
      <w:pPr>
        <w:rPr>
          <w:rFonts w:hint="eastAsia"/>
        </w:rPr>
      </w:pPr>
      <w:r>
        <w:t>Pour chaque ligne facturée, SISO doit pouvoir indiquer : le client, le compte de facturation, le site, le service, l’article, le fournisseur, le prix de vente, le prix d’achat, la marge, le statut du rapprochement et l’éventuelle anomalie.</w:t>
      </w:r>
    </w:p>
    <w:p w:rsidR="00590C70" w:rsidRDefault="00D04C8E">
      <w:pPr>
        <w:pStyle w:val="Titre3"/>
      </w:pPr>
      <w:r>
        <w:t xml:space="preserve">Décisions à </w:t>
      </w:r>
      <w:r>
        <w:t>valider</w:t>
      </w:r>
    </w:p>
    <w:tbl>
      <w:tblPr>
        <w:tblStyle w:val="Grilledutableau"/>
        <w:tblW w:w="0" w:type="auto"/>
        <w:jc w:val="center"/>
        <w:tblLook w:val="04A0"/>
      </w:tblPr>
      <w:tblGrid>
        <w:gridCol w:w="4637"/>
        <w:gridCol w:w="4637"/>
        <w:gridCol w:w="4637"/>
      </w:tblGrid>
      <w:tr w:rsidR="00590C70">
        <w:trPr>
          <w:jc w:val="center"/>
        </w:trPr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Sujet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Décision / hypothèse actuelle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Validation Nicolas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Nom et périmètre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SISO regroupe SoftWhere, Connextoo et les futures versions SaaS.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Priorité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Le parc facturé et le contrôle achat/vente passent avant le CRM complet.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Migration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Les outils existants restent disponibles pendant la montée en charge.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</w:tbl>
    <w:p w:rsidR="00590C70" w:rsidRDefault="00D04C8E">
      <w:pPr>
        <w:pStyle w:val="Titre1"/>
      </w:pPr>
      <w:r>
        <w:lastRenderedPageBreak/>
        <w:t>2. Architecture fonctionnelle globale</w:t>
      </w:r>
    </w:p>
    <w:p w:rsidR="00590C70" w:rsidRDefault="00D04C8E">
      <w:pPr>
        <w:pStyle w:val="Lead"/>
        <w:rPr>
          <w:rFonts w:hint="eastAsia"/>
        </w:rPr>
      </w:pPr>
      <w:r>
        <w:t>Le noyau SISO s’organise autour du service de parc, relié aux objets commerciaux, financiers et opérationnels.</w:t>
      </w:r>
    </w:p>
    <w:p w:rsidR="00590C70" w:rsidRDefault="00D04C8E">
      <w:pPr>
        <w:keepLines/>
        <w:jc w:val="center"/>
        <w:rPr>
          <w:rFonts w:hint="eastAsia"/>
        </w:rPr>
      </w:pPr>
      <w:r>
        <w:rPr>
          <w:noProof/>
          <w:lang w:val="fr-FR" w:eastAsia="fr-FR"/>
        </w:rPr>
        <w:drawing>
          <wp:inline distT="0" distB="0" distL="0" distR="0">
            <wp:extent cx="9509760" cy="25434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_global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254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C70" w:rsidRDefault="00D04C8E">
      <w:pPr>
        <w:pStyle w:val="Titre2"/>
      </w:pPr>
      <w:r>
        <w:t xml:space="preserve">Lecture du </w:t>
      </w:r>
      <w:r>
        <w:t>schéma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Le tenant sépare les données, les règles, les utilisateurs et l’identité graphique de chaque organisation.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Le compte client porte l’entité commerciale et juridique.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Les comptes de facturation représentent les identifiants du client dans VosFactures,</w:t>
      </w:r>
      <w:r>
        <w:t xml:space="preserve"> CFAST ou tout autre système.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Les sites représentent les établissements ou lieux réels où sont rattachés les services.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Le service de parc est l’objet pivot entre déploiement, facturation client, achats fournisseurs et support.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Le moteur de rapprochement co</w:t>
      </w:r>
      <w:r>
        <w:t>nsolide les données et produit les anomalies, les actions et les marges.</w:t>
      </w:r>
    </w:p>
    <w:tbl>
      <w:tblPr>
        <w:tblW w:w="0" w:type="auto"/>
        <w:jc w:val="center"/>
        <w:tblLayout w:type="fixed"/>
        <w:tblLook w:val="04A0"/>
      </w:tblPr>
      <w:tblGrid>
        <w:gridCol w:w="13912"/>
      </w:tblGrid>
      <w:tr w:rsidR="00590C70">
        <w:trPr>
          <w:jc w:val="center"/>
        </w:trPr>
        <w:tc>
          <w:tcPr>
            <w:tcW w:w="13912" w:type="dxa"/>
            <w:shd w:val="clear" w:color="auto" w:fill="FCE7F3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D6007F"/>
              </w:rPr>
              <w:t xml:space="preserve">Principe cardinal — </w:t>
            </w:r>
            <w:r>
              <w:rPr>
                <w:color w:val="1B1B1F"/>
              </w:rPr>
              <w:t>Un service ne doit jamais être réduit à une simple ligne de facture. Il existe indépendamment de sa facturation et peut être relié à plusieurs composants, lignes d</w:t>
            </w:r>
            <w:r>
              <w:rPr>
                <w:color w:val="1B1B1F"/>
              </w:rPr>
              <w:t>e vente ou lignes d’achat.</w:t>
            </w:r>
          </w:p>
        </w:tc>
      </w:tr>
    </w:tbl>
    <w:p w:rsidR="00590C70" w:rsidRDefault="00590C70">
      <w:pPr>
        <w:rPr>
          <w:rFonts w:hint="eastAsia"/>
        </w:rPr>
      </w:pPr>
    </w:p>
    <w:p w:rsidR="00590C70" w:rsidRDefault="00D04C8E">
      <w:pPr>
        <w:pStyle w:val="Titre1"/>
      </w:pPr>
      <w:r>
        <w:lastRenderedPageBreak/>
        <w:t>3. Modèle des objets centraux</w:t>
      </w:r>
    </w:p>
    <w:p w:rsidR="00590C70" w:rsidRDefault="00D04C8E">
      <w:pPr>
        <w:pStyle w:val="Lead"/>
        <w:rPr>
          <w:rFonts w:hint="eastAsia"/>
        </w:rPr>
      </w:pPr>
      <w:r>
        <w:t>Première représentation des entités nécessaires à la base de données et de leurs relations.</w:t>
      </w:r>
    </w:p>
    <w:p w:rsidR="00590C70" w:rsidRDefault="00D04C8E">
      <w:pPr>
        <w:keepLines/>
        <w:jc w:val="center"/>
        <w:rPr>
          <w:rFonts w:hint="eastAsia"/>
        </w:rPr>
      </w:pPr>
      <w:r>
        <w:rPr>
          <w:noProof/>
          <w:lang w:val="fr-FR" w:eastAsia="fr-FR"/>
        </w:rPr>
        <w:drawing>
          <wp:inline distT="0" distB="0" distL="0" distR="0">
            <wp:extent cx="7964890" cy="2100734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_object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992981" cy="210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C70" w:rsidRDefault="00D04C8E">
      <w:pPr>
        <w:pStyle w:val="Titre2"/>
      </w:pPr>
      <w:r>
        <w:t>Définitions structurantes</w:t>
      </w:r>
    </w:p>
    <w:tbl>
      <w:tblPr>
        <w:tblStyle w:val="Grilledutableau"/>
        <w:tblW w:w="0" w:type="auto"/>
        <w:jc w:val="center"/>
        <w:tblLook w:val="04A0"/>
      </w:tblPr>
      <w:tblGrid>
        <w:gridCol w:w="4637"/>
        <w:gridCol w:w="4637"/>
        <w:gridCol w:w="4637"/>
      </w:tblGrid>
      <w:tr w:rsidR="00590C70">
        <w:trPr>
          <w:jc w:val="center"/>
        </w:trPr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Objet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Rôle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Exemple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Tenant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Organisation isolée dans la plateforme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SoftWhere, </w:t>
            </w:r>
            <w:r>
              <w:rPr>
                <w:color w:val="1B1B1F"/>
                <w:sz w:val="18"/>
              </w:rPr>
              <w:t>Connextoo, marque blanche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Compte client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Entité commerciale principale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SARL Dupont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Compte de facturation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Compte externe dans un facturier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Client CFAST n° 4587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Site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Établissement ou lieu de service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Siège de Quimper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Article SISO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Référentiel de vente ou </w:t>
            </w:r>
            <w:r>
              <w:rPr>
                <w:color w:val="1B1B1F"/>
                <w:sz w:val="18"/>
              </w:rPr>
              <w:t>d’achat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Forfait mobile 30 Go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Service de parc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Instance réellement active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Ligne 06 12 34 56 78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Ligne facture client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Montant réellement facturé sur une période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Forfait juillet : 12,50 € HT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Ligne achat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Coût réellement supporté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Achat opérateur : 7,80 € HT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Déploiement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Workflow conduisant à la création ou modification du service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Portabilité + activation SIM</w:t>
            </w:r>
          </w:p>
        </w:tc>
      </w:tr>
    </w:tbl>
    <w:p w:rsidR="00590C70" w:rsidRDefault="00D04C8E">
      <w:pPr>
        <w:pStyle w:val="Titre3"/>
      </w:pPr>
      <w:r>
        <w:t>Décisions à valider</w:t>
      </w:r>
    </w:p>
    <w:tbl>
      <w:tblPr>
        <w:tblStyle w:val="Grilledutableau"/>
        <w:tblW w:w="0" w:type="auto"/>
        <w:jc w:val="center"/>
        <w:tblLook w:val="04A0"/>
      </w:tblPr>
      <w:tblGrid>
        <w:gridCol w:w="4637"/>
        <w:gridCol w:w="4637"/>
        <w:gridCol w:w="4637"/>
      </w:tblGrid>
      <w:tr w:rsidR="00590C70">
        <w:trPr>
          <w:jc w:val="center"/>
        </w:trPr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Sujet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Décision / hypothèse actuelle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Validation Nicolas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Site et facturation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Un site peut être rattaché à un compte de facturation, </w:t>
            </w:r>
            <w:r>
              <w:rPr>
                <w:color w:val="1B1B1F"/>
                <w:sz w:val="18"/>
              </w:rPr>
              <w:t>mais les deux objets restent distincts.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Suppression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Les services et rattachements sont historisés, jamais supprimés physiquement.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Références externes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Chaque objet synchronisé conserve sa source et son </w:t>
            </w:r>
            <w:r>
              <w:rPr>
                <w:color w:val="1B1B1F"/>
                <w:sz w:val="18"/>
              </w:rPr>
              <w:lastRenderedPageBreak/>
              <w:t>identifiant externe.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lastRenderedPageBreak/>
              <w:t>À complé</w:t>
            </w:r>
            <w:r>
              <w:rPr>
                <w:color w:val="1B1B1F"/>
                <w:sz w:val="18"/>
              </w:rPr>
              <w:t>ter</w:t>
            </w:r>
          </w:p>
        </w:tc>
      </w:tr>
    </w:tbl>
    <w:p w:rsidR="00590C70" w:rsidRDefault="00D04C8E">
      <w:pPr>
        <w:pStyle w:val="Titre1"/>
      </w:pPr>
      <w:r>
        <w:lastRenderedPageBreak/>
        <w:t>4. Sources de vérité et gouvernance des données</w:t>
      </w:r>
    </w:p>
    <w:p w:rsidR="00590C70" w:rsidRDefault="00D04C8E">
      <w:pPr>
        <w:pStyle w:val="Lead"/>
        <w:rPr>
          <w:rFonts w:hint="eastAsia"/>
        </w:rPr>
      </w:pPr>
      <w:r>
        <w:t>Chaque information doit avoir une source maître clairement identifiée.</w:t>
      </w:r>
    </w:p>
    <w:p w:rsidR="00590C70" w:rsidRDefault="00D04C8E">
      <w:pPr>
        <w:keepLines/>
        <w:jc w:val="center"/>
        <w:rPr>
          <w:rFonts w:hint="eastAsia"/>
        </w:rPr>
      </w:pPr>
      <w:r>
        <w:rPr>
          <w:noProof/>
          <w:lang w:val="fr-FR" w:eastAsia="fr-FR"/>
        </w:rPr>
        <w:drawing>
          <wp:inline distT="0" distB="0" distL="0" distR="0">
            <wp:extent cx="8961120" cy="343557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_truth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61120" cy="3435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jc w:val="center"/>
        <w:tblLook w:val="04A0"/>
      </w:tblPr>
      <w:tblGrid>
        <w:gridCol w:w="4637"/>
        <w:gridCol w:w="4637"/>
        <w:gridCol w:w="4637"/>
      </w:tblGrid>
      <w:tr w:rsidR="00590C70">
        <w:trPr>
          <w:jc w:val="center"/>
        </w:trPr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Information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Source de vérité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Rôle de SISO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Identité, contacts, sites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SISO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Création, correction et historisation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 xml:space="preserve">Montant facturé </w:t>
            </w:r>
            <w:r>
              <w:rPr>
                <w:b/>
                <w:color w:val="1B1B1F"/>
                <w:sz w:val="18"/>
              </w:rPr>
              <w:t>au client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VosFactures ou CFAST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Import et rapprochement, sans réécriture silencieuse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Prix d’achat réel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Networth, SNAIC, OVH, Alphalink…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Import, mapping et contrôle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Commande et activation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Déploiement / fournisseur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Consolidation des dates et statuts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Statut</w:t>
            </w:r>
            <w:r>
              <w:rPr>
                <w:b/>
                <w:color w:val="1B1B1F"/>
                <w:sz w:val="18"/>
              </w:rPr>
              <w:t xml:space="preserve"> global du service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SISO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Calcul à partir de toutes les sources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Marge et anomalie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SISO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Calcul et workflow de traitement</w:t>
            </w:r>
          </w:p>
        </w:tc>
      </w:tr>
    </w:tbl>
    <w:tbl>
      <w:tblPr>
        <w:tblW w:w="0" w:type="auto"/>
        <w:jc w:val="center"/>
        <w:tblLayout w:type="fixed"/>
        <w:tblLook w:val="04A0"/>
      </w:tblPr>
      <w:tblGrid>
        <w:gridCol w:w="13912"/>
      </w:tblGrid>
      <w:tr w:rsidR="00590C70">
        <w:trPr>
          <w:jc w:val="center"/>
        </w:trPr>
        <w:tc>
          <w:tcPr>
            <w:tcW w:w="13912" w:type="dxa"/>
            <w:shd w:val="clear" w:color="auto" w:fill="FCE7F3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D6007F"/>
              </w:rPr>
              <w:t xml:space="preserve">Traçabilité — </w:t>
            </w:r>
            <w:r>
              <w:rPr>
                <w:color w:val="1B1B1F"/>
              </w:rPr>
              <w:t>Toute correction manuelle doit être identifiable : auteur, date, ancienne valeur, nouvelle valeur, justification et source</w:t>
            </w:r>
            <w:r>
              <w:rPr>
                <w:color w:val="1B1B1F"/>
              </w:rPr>
              <w:t xml:space="preserve"> initiale.</w:t>
            </w:r>
          </w:p>
        </w:tc>
      </w:tr>
    </w:tbl>
    <w:p w:rsidR="00590C70" w:rsidRDefault="00590C70">
      <w:pPr>
        <w:rPr>
          <w:rFonts w:hint="eastAsia"/>
        </w:rPr>
      </w:pPr>
    </w:p>
    <w:p w:rsidR="00590C70" w:rsidRDefault="00D04C8E">
      <w:pPr>
        <w:pStyle w:val="Titre1"/>
      </w:pPr>
      <w:r>
        <w:lastRenderedPageBreak/>
        <w:t>5. Architecture des connecteurs et synchronisations</w:t>
      </w:r>
    </w:p>
    <w:p w:rsidR="00590C70" w:rsidRDefault="00D04C8E">
      <w:pPr>
        <w:pStyle w:val="Lead"/>
        <w:rPr>
          <w:rFonts w:hint="eastAsia"/>
        </w:rPr>
      </w:pPr>
      <w:r>
        <w:t>Les logiciels de facturation et fournisseurs doivent être interchangeables grâce à une couche de normalisation.</w:t>
      </w:r>
    </w:p>
    <w:p w:rsidR="00590C70" w:rsidRDefault="00D04C8E">
      <w:pPr>
        <w:keepLines/>
        <w:jc w:val="center"/>
        <w:rPr>
          <w:rFonts w:hint="eastAsia"/>
        </w:rPr>
      </w:pPr>
      <w:r>
        <w:rPr>
          <w:noProof/>
          <w:lang w:val="fr-FR" w:eastAsia="fr-FR"/>
        </w:rPr>
        <w:drawing>
          <wp:inline distT="0" distB="0" distL="0" distR="0">
            <wp:extent cx="9509760" cy="422462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_connector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4224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C70" w:rsidRDefault="00D04C8E">
      <w:pPr>
        <w:pStyle w:val="Titre2"/>
      </w:pPr>
      <w:r>
        <w:t>Comportement attendu d’un connecteur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 xml:space="preserve">Importer par API lorsque celle-ci est </w:t>
      </w:r>
      <w:r>
        <w:t>disponible, sinon par fichier CSV, Excel, XML ou PDF.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Conserver la donnée brute reçue avant toute transformation.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Normaliser vers un modèle commun SISO.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Appliquer les règles de correspondance client, site, article et service.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Journaliser chaque import, err</w:t>
      </w:r>
      <w:r>
        <w:t>eur, rejet, doublon et reprise manuelle.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Permettre une resynchronisation sans créer de doublons.</w:t>
      </w:r>
    </w:p>
    <w:p w:rsidR="00590C70" w:rsidRDefault="00D04C8E">
      <w:pPr>
        <w:pStyle w:val="Titre2"/>
      </w:pPr>
      <w:r>
        <w:lastRenderedPageBreak/>
        <w:t>Connecteurs prioritaires</w:t>
      </w:r>
    </w:p>
    <w:tbl>
      <w:tblPr>
        <w:tblStyle w:val="Grilledutableau"/>
        <w:tblW w:w="0" w:type="auto"/>
        <w:tblLook w:val="04A0"/>
      </w:tblPr>
      <w:tblGrid>
        <w:gridCol w:w="3478"/>
        <w:gridCol w:w="3478"/>
        <w:gridCol w:w="3478"/>
        <w:gridCol w:w="3478"/>
      </w:tblGrid>
      <w:tr w:rsidR="00590C70">
        <w:tc>
          <w:tcPr>
            <w:tcW w:w="3478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Priorité</w:t>
            </w:r>
          </w:p>
        </w:tc>
        <w:tc>
          <w:tcPr>
            <w:tcW w:w="3478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Source</w:t>
            </w:r>
          </w:p>
        </w:tc>
        <w:tc>
          <w:tcPr>
            <w:tcW w:w="3478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Donnée</w:t>
            </w:r>
          </w:p>
        </w:tc>
        <w:tc>
          <w:tcPr>
            <w:tcW w:w="3478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Mode envisagé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1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VosFactures SoftWhere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Facturation client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API / export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1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CFAST Actif Telecom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Facturation </w:t>
            </w:r>
            <w:r>
              <w:rPr>
                <w:color w:val="1B1B1F"/>
                <w:sz w:val="18"/>
              </w:rPr>
              <w:t>client externe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API / export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1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CFAST Connextoo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Facturation client externe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API / export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2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Networth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Achats et parc fournisseur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Parser / export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2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SNAIC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Achats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définir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2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OVH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Services et achats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API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2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Alphalink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Services et achats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API / export</w:t>
            </w:r>
          </w:p>
        </w:tc>
      </w:tr>
    </w:tbl>
    <w:p w:rsidR="00590C70" w:rsidRDefault="00D04C8E">
      <w:pPr>
        <w:pStyle w:val="Titre1"/>
      </w:pPr>
      <w:r>
        <w:lastRenderedPageBreak/>
        <w:t>6. Catalogue</w:t>
      </w:r>
      <w:r>
        <w:t xml:space="preserve"> et correspondances</w:t>
      </w:r>
    </w:p>
    <w:p w:rsidR="00590C70" w:rsidRDefault="00D04C8E">
      <w:pPr>
        <w:pStyle w:val="Lead"/>
        <w:rPr>
          <w:rFonts w:hint="eastAsia"/>
        </w:rPr>
      </w:pPr>
      <w:r>
        <w:t>Le catalogue SISO sert de traducteur entre les libellés commerciaux, les services du parc et les références externes.</w:t>
      </w:r>
    </w:p>
    <w:p w:rsidR="00590C70" w:rsidRDefault="00D04C8E">
      <w:pPr>
        <w:pStyle w:val="Titre2"/>
      </w:pPr>
      <w:r>
        <w:t>Le modèle doit distinguer quatre niveaux :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Modèle de service : nature fonctionnelle du service, par exemple « ligne mo</w:t>
      </w:r>
      <w:r>
        <w:t>bile » ou « accès fibre ».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Article de vente : élément facturable au client, avec tarif, périodicité et TVA.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Article d’achat : élément acheté au fournisseur, avec coût et conditions.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Correspondance externe : code ou libellé propre à VosFactures, CFAST ou au</w:t>
      </w:r>
      <w:r>
        <w:t xml:space="preserve"> fournisseur.</w:t>
      </w:r>
    </w:p>
    <w:tbl>
      <w:tblPr>
        <w:tblStyle w:val="Grilledutableau"/>
        <w:tblW w:w="0" w:type="auto"/>
        <w:tblLook w:val="04A0"/>
      </w:tblPr>
      <w:tblGrid>
        <w:gridCol w:w="2782"/>
        <w:gridCol w:w="2782"/>
        <w:gridCol w:w="2782"/>
        <w:gridCol w:w="2782"/>
        <w:gridCol w:w="2782"/>
      </w:tblGrid>
      <w:tr w:rsidR="00590C70"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Modèle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Article de vente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Article d’achat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Référence externe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Usage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Ligne mobile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Forfait 30 Go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Abonnement opérateur 30 Go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ABO30G / MOB-30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Service récurrent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Accès internet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Fibre FTTO + maintenance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Lien opérateur FTTO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FTTO-100M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Service + </w:t>
            </w:r>
            <w:r>
              <w:rPr>
                <w:color w:val="1B1B1F"/>
                <w:sz w:val="18"/>
              </w:rPr>
              <w:t>composants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Téléphonie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Licence 3CX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Licence fournisseur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3CX-8SC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Licence récurrente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Matériel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Location téléphone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Achat ou location fournisseur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YEA-T54W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Actif matériel</w:t>
            </w:r>
          </w:p>
        </w:tc>
      </w:tr>
    </w:tbl>
    <w:tbl>
      <w:tblPr>
        <w:tblW w:w="0" w:type="auto"/>
        <w:jc w:val="center"/>
        <w:tblLayout w:type="fixed"/>
        <w:tblLook w:val="04A0"/>
      </w:tblPr>
      <w:tblGrid>
        <w:gridCol w:w="13912"/>
      </w:tblGrid>
      <w:tr w:rsidR="00590C70">
        <w:trPr>
          <w:jc w:val="center"/>
        </w:trPr>
        <w:tc>
          <w:tcPr>
            <w:tcW w:w="13912" w:type="dxa"/>
            <w:shd w:val="clear" w:color="auto" w:fill="FCE7F3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D6007F"/>
              </w:rPr>
              <w:t xml:space="preserve">Règle — </w:t>
            </w:r>
            <w:r>
              <w:rPr>
                <w:color w:val="1B1B1F"/>
              </w:rPr>
              <w:t xml:space="preserve">Un même article peut être utilisé par plusieurs services. Un même service peut </w:t>
            </w:r>
            <w:r>
              <w:rPr>
                <w:color w:val="1B1B1F"/>
              </w:rPr>
              <w:t>également être composé de plusieurs articles de vente et d’achat.</w:t>
            </w:r>
          </w:p>
        </w:tc>
      </w:tr>
    </w:tbl>
    <w:p w:rsidR="00590C70" w:rsidRDefault="00590C70">
      <w:pPr>
        <w:rPr>
          <w:rFonts w:hint="eastAsia"/>
        </w:rPr>
      </w:pPr>
    </w:p>
    <w:p w:rsidR="00590C70" w:rsidRDefault="00D04C8E">
      <w:pPr>
        <w:pStyle w:val="Titre3"/>
      </w:pPr>
      <w:r>
        <w:t>Décisions à valider</w:t>
      </w:r>
    </w:p>
    <w:tbl>
      <w:tblPr>
        <w:tblStyle w:val="Grilledutableau"/>
        <w:tblW w:w="0" w:type="auto"/>
        <w:jc w:val="center"/>
        <w:tblLook w:val="04A0"/>
      </w:tblPr>
      <w:tblGrid>
        <w:gridCol w:w="4637"/>
        <w:gridCol w:w="4637"/>
        <w:gridCol w:w="4637"/>
      </w:tblGrid>
      <w:tr w:rsidR="00590C70">
        <w:trPr>
          <w:jc w:val="center"/>
        </w:trPr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Sujet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Décision / hypothèse actuelle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Validation Nicolas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Tarifs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Les prix doivent être historisés avec une date d’effet.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Bundles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Une offre commerciale peut </w:t>
            </w:r>
            <w:r>
              <w:rPr>
                <w:color w:val="1B1B1F"/>
                <w:sz w:val="18"/>
              </w:rPr>
              <w:t>regrouper plusieurs services sans supprimer leur individualité.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Libellés inconnus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Ils sont placés dans une file de mapping à traiter, sans blocage de l’import global.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</w:tbl>
    <w:p w:rsidR="00590C70" w:rsidRDefault="00D04C8E">
      <w:pPr>
        <w:pStyle w:val="Titre1"/>
      </w:pPr>
      <w:r>
        <w:lastRenderedPageBreak/>
        <w:t>7. Moteur de rapprochement et gestion des anomalies</w:t>
      </w:r>
    </w:p>
    <w:p w:rsidR="00590C70" w:rsidRDefault="00D04C8E">
      <w:pPr>
        <w:pStyle w:val="Lead"/>
        <w:rPr>
          <w:rFonts w:hint="eastAsia"/>
        </w:rPr>
      </w:pPr>
      <w:r>
        <w:t>Le moteur c</w:t>
      </w:r>
      <w:r>
        <w:t>ompare le service attendu, le parc consolidé, la facturation client et les achats fournisseurs.</w:t>
      </w:r>
    </w:p>
    <w:p w:rsidR="00590C70" w:rsidRDefault="00D04C8E">
      <w:pPr>
        <w:keepLines/>
        <w:jc w:val="center"/>
        <w:rPr>
          <w:rFonts w:hint="eastAsia"/>
        </w:rPr>
      </w:pPr>
      <w:r>
        <w:rPr>
          <w:noProof/>
          <w:lang w:val="fr-FR" w:eastAsia="fr-FR"/>
        </w:rPr>
        <w:drawing>
          <wp:inline distT="0" distB="0" distL="0" distR="0">
            <wp:extent cx="8869680" cy="215347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_reconcil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9680" cy="215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C70" w:rsidRDefault="00D04C8E">
      <w:pPr>
        <w:pStyle w:val="Titre2"/>
      </w:pPr>
      <w:r>
        <w:t>Contrôles minimaux de la V1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Service actif sans facturation client.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Ligne facturée sans service identifié.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Achat fournisseur sans refacturation.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 xml:space="preserve">Service ou </w:t>
      </w:r>
      <w:r>
        <w:t>achat maintenu après résiliation.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Écart de quantité, prix de vente, prix d’achat, marge ou commission.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Article, client, site ou référence externe non reconnu.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Doublon ou période incohérente.</w:t>
      </w:r>
    </w:p>
    <w:p w:rsidR="00590C70" w:rsidRDefault="00D04C8E">
      <w:pPr>
        <w:pStyle w:val="Titre2"/>
      </w:pPr>
      <w:r>
        <w:t>Workflow d’une anomalie</w:t>
      </w:r>
    </w:p>
    <w:tbl>
      <w:tblPr>
        <w:tblStyle w:val="Grilledutableau"/>
        <w:tblW w:w="0" w:type="auto"/>
        <w:tblLook w:val="04A0"/>
      </w:tblPr>
      <w:tblGrid>
        <w:gridCol w:w="2782"/>
        <w:gridCol w:w="2782"/>
        <w:gridCol w:w="2782"/>
        <w:gridCol w:w="2782"/>
        <w:gridCol w:w="2782"/>
      </w:tblGrid>
      <w:tr w:rsidR="00590C70"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Statut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Responsable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Action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Impact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Clôture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Nouvelle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affecter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Qualification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Montant estimé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—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À analyser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Gestionnaire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Vérification source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Confirmé / corrigé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—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Correction interne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Facturation / parc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Modifier la donnée interne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Écart suivi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Après resynchronisation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Réclamation fournisseur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Gestionnaire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Envoyer et suivre la demande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Avoir attendu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réception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Résolue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Automatique ou gestionnaire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Contrôle final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Montant récupéré / évité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Date + preuve</w:t>
            </w:r>
          </w:p>
        </w:tc>
      </w:tr>
    </w:tbl>
    <w:p w:rsidR="00590C70" w:rsidRDefault="00D04C8E">
      <w:pPr>
        <w:pStyle w:val="Titre1"/>
      </w:pPr>
      <w:r>
        <w:lastRenderedPageBreak/>
        <w:t>8. Déploiement connecté au parc</w:t>
      </w:r>
    </w:p>
    <w:p w:rsidR="00590C70" w:rsidRDefault="00D04C8E">
      <w:pPr>
        <w:pStyle w:val="Lead"/>
        <w:rPr>
          <w:rFonts w:hint="eastAsia"/>
        </w:rPr>
      </w:pPr>
      <w:r>
        <w:t>Le déploiement devient le processus de création, modification ou</w:t>
      </w:r>
      <w:r>
        <w:t xml:space="preserve"> résiliation des services, et non une simple liste de tâches.</w:t>
      </w:r>
    </w:p>
    <w:p w:rsidR="00590C70" w:rsidRDefault="00D04C8E">
      <w:pPr>
        <w:keepLines/>
        <w:jc w:val="center"/>
        <w:rPr>
          <w:rFonts w:hint="eastAsia"/>
        </w:rPr>
      </w:pPr>
      <w:r>
        <w:rPr>
          <w:noProof/>
          <w:lang w:val="fr-FR" w:eastAsia="fr-FR"/>
        </w:rPr>
        <w:drawing>
          <wp:inline distT="0" distB="0" distL="0" distR="0">
            <wp:extent cx="9509760" cy="49188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_deployment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491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C70" w:rsidRDefault="00D04C8E">
      <w:pPr>
        <w:pStyle w:val="Titre2"/>
      </w:pPr>
      <w:r>
        <w:t>Règles de fonctionnement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Une offre acceptée crée un déploiement et des services prévisionnels.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Les commandes fournisseurs mettent à jour les références et dates attendues.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 xml:space="preserve">L’activation </w:t>
      </w:r>
      <w:r>
        <w:t>technique fait passer le service en état actif sous réserve de contrôle.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La première facture client et le premier achat fournisseur sont rapprochés.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Le déploiement n’est clôturé qu’après validation technique et financière.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Une résiliation suit le même prin</w:t>
      </w:r>
      <w:r>
        <w:t>cipe : demande, confirmation, fin technique, fin d’achat et fin de facturation.</w:t>
      </w:r>
    </w:p>
    <w:tbl>
      <w:tblPr>
        <w:tblW w:w="0" w:type="auto"/>
        <w:jc w:val="center"/>
        <w:tblLayout w:type="fixed"/>
        <w:tblLook w:val="04A0"/>
      </w:tblPr>
      <w:tblGrid>
        <w:gridCol w:w="13912"/>
      </w:tblGrid>
      <w:tr w:rsidR="00590C70">
        <w:trPr>
          <w:jc w:val="center"/>
        </w:trPr>
        <w:tc>
          <w:tcPr>
            <w:tcW w:w="13912" w:type="dxa"/>
            <w:shd w:val="clear" w:color="auto" w:fill="FCE7F3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D6007F"/>
              </w:rPr>
              <w:t xml:space="preserve">Valeur ajoutée — </w:t>
            </w:r>
            <w:r>
              <w:rPr>
                <w:color w:val="1B1B1F"/>
              </w:rPr>
              <w:t>Le parc n’est plus mis à jour après coup : il est préparé par le déploiement puis confirmé par les systèmes de facturation et d’achat.</w:t>
            </w:r>
          </w:p>
        </w:tc>
      </w:tr>
    </w:tbl>
    <w:p w:rsidR="00590C70" w:rsidRDefault="00590C70">
      <w:pPr>
        <w:rPr>
          <w:rFonts w:hint="eastAsia"/>
        </w:rPr>
      </w:pPr>
    </w:p>
    <w:p w:rsidR="00590C70" w:rsidRDefault="00D04C8E">
      <w:pPr>
        <w:pStyle w:val="Titre1"/>
      </w:pPr>
      <w:r>
        <w:lastRenderedPageBreak/>
        <w:t xml:space="preserve">9. Cartographie des </w:t>
      </w:r>
      <w:r>
        <w:t>modules</w:t>
      </w:r>
    </w:p>
    <w:p w:rsidR="00590C70" w:rsidRDefault="00D04C8E">
      <w:pPr>
        <w:pStyle w:val="Lead"/>
        <w:rPr>
          <w:rFonts w:hint="eastAsia"/>
        </w:rPr>
      </w:pPr>
      <w:r>
        <w:t>Les modules obligatoires forment un socle synchronisé. Les modules complémentaires s’appuient sur les mêmes objets centraux.</w:t>
      </w:r>
    </w:p>
    <w:p w:rsidR="00590C70" w:rsidRDefault="00D04C8E">
      <w:pPr>
        <w:keepLines/>
        <w:jc w:val="center"/>
        <w:rPr>
          <w:rFonts w:hint="eastAsia"/>
        </w:rPr>
      </w:pPr>
      <w:r>
        <w:rPr>
          <w:noProof/>
          <w:lang w:val="fr-FR" w:eastAsia="fr-FR"/>
        </w:rPr>
        <w:drawing>
          <wp:inline distT="0" distB="0" distL="0" distR="0">
            <wp:extent cx="5669280" cy="471118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_module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4711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C70" w:rsidRDefault="00D04C8E">
      <w:pPr>
        <w:pStyle w:val="Titre2"/>
      </w:pPr>
      <w:r>
        <w:t>Modules obligatoires synchronisés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Compte client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Contacts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Sites et comptes de facturation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lastRenderedPageBreak/>
        <w:t>Catalogues articles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 xml:space="preserve">Services de </w:t>
      </w:r>
      <w:r>
        <w:t>parc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Connecteurs et synchronisations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Déploiements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Contrôles, marges et anomalies</w:t>
      </w:r>
    </w:p>
    <w:p w:rsidR="00590C70" w:rsidRDefault="00D04C8E">
      <w:pPr>
        <w:pStyle w:val="Titre2"/>
      </w:pPr>
      <w:r>
        <w:t>Modules complémentaires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Études et offres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Tickets et support N1/N2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Communications externes : e-mail, SMS, alertes et informations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Communications internes, notes et descriptions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Enregistrements, transcription et synthèse IA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Documents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Portail client et marque blanche</w:t>
      </w:r>
    </w:p>
    <w:tbl>
      <w:tblPr>
        <w:tblW w:w="0" w:type="auto"/>
        <w:jc w:val="center"/>
        <w:tblLayout w:type="fixed"/>
        <w:tblLook w:val="04A0"/>
      </w:tblPr>
      <w:tblGrid>
        <w:gridCol w:w="13912"/>
      </w:tblGrid>
      <w:tr w:rsidR="00590C70">
        <w:trPr>
          <w:jc w:val="center"/>
        </w:trPr>
        <w:tc>
          <w:tcPr>
            <w:tcW w:w="13912" w:type="dxa"/>
            <w:shd w:val="clear" w:color="auto" w:fill="FCE7F3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D6007F"/>
              </w:rPr>
              <w:t xml:space="preserve">Dépendance — </w:t>
            </w:r>
            <w:r>
              <w:rPr>
                <w:color w:val="1B1B1F"/>
              </w:rPr>
              <w:t>Un module complémentaire ne doit pas recréer son propre client, contact, site ou service. Il référence obligatoirement les objets du socle.</w:t>
            </w:r>
          </w:p>
        </w:tc>
      </w:tr>
    </w:tbl>
    <w:p w:rsidR="00590C70" w:rsidRDefault="00590C70">
      <w:pPr>
        <w:rPr>
          <w:rFonts w:hint="eastAsia"/>
        </w:rPr>
      </w:pPr>
    </w:p>
    <w:p w:rsidR="00590C70" w:rsidRDefault="00D04C8E">
      <w:pPr>
        <w:pStyle w:val="Titre1"/>
      </w:pPr>
      <w:r>
        <w:lastRenderedPageBreak/>
        <w:t xml:space="preserve">10. </w:t>
      </w:r>
      <w:r>
        <w:t>Communications, support et intelligence artificielle</w:t>
      </w:r>
    </w:p>
    <w:p w:rsidR="00590C70" w:rsidRDefault="00D04C8E">
      <w:pPr>
        <w:pStyle w:val="Lead"/>
        <w:rPr>
          <w:rFonts w:hint="eastAsia"/>
        </w:rPr>
      </w:pPr>
      <w:r>
        <w:t>Toutes les communications doivent pouvoir être rattachées au bon contexte métier.</w:t>
      </w:r>
    </w:p>
    <w:p w:rsidR="00590C70" w:rsidRDefault="00D04C8E">
      <w:pPr>
        <w:pStyle w:val="Titre2"/>
      </w:pPr>
      <w:r>
        <w:t>Objet Communication</w:t>
      </w:r>
    </w:p>
    <w:p w:rsidR="00590C70" w:rsidRDefault="00D04C8E">
      <w:pPr>
        <w:rPr>
          <w:rFonts w:hint="eastAsia"/>
        </w:rPr>
      </w:pPr>
      <w:r>
        <w:t>Une communication peut être un e-mail, un SMS, un appel, une transcription, une note interne, une ale</w:t>
      </w:r>
      <w:r>
        <w:t>rte automatique ou un document. Elle doit pouvoir être reliée simultanément au client, au contact, au site, au service, au ticket, au déploiement ou à l’étude.</w:t>
      </w:r>
    </w:p>
    <w:p w:rsidR="00590C70" w:rsidRDefault="00D04C8E">
      <w:pPr>
        <w:pStyle w:val="Titre2"/>
      </w:pPr>
      <w:r>
        <w:t>Fonctions IA envisagées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Transcription des appels 3CX et conservation de l’enregistrement source.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Synthèse automatique des appels, e-mails et documents.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Détection du motif, de l’urgence et des actions attendues.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Proposition de rattachement au client, au site et au service.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Proposition de création de ticket, tâche, déploiement ou étude.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Suivi de la sat</w:t>
      </w:r>
      <w:r>
        <w:t>isfaction ou du sentiment sans remplacer la validation humaine.</w:t>
      </w:r>
    </w:p>
    <w:tbl>
      <w:tblPr>
        <w:tblW w:w="0" w:type="auto"/>
        <w:jc w:val="center"/>
        <w:tblLayout w:type="fixed"/>
        <w:tblLook w:val="04A0"/>
      </w:tblPr>
      <w:tblGrid>
        <w:gridCol w:w="13912"/>
      </w:tblGrid>
      <w:tr w:rsidR="00590C70">
        <w:trPr>
          <w:jc w:val="center"/>
        </w:trPr>
        <w:tc>
          <w:tcPr>
            <w:tcW w:w="13912" w:type="dxa"/>
            <w:shd w:val="clear" w:color="auto" w:fill="FCE7F3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D6007F"/>
              </w:rPr>
              <w:t xml:space="preserve">Séparation des données — </w:t>
            </w:r>
            <w:r>
              <w:rPr>
                <w:color w:val="1B1B1F"/>
              </w:rPr>
              <w:t>La donnée brute, la transcription, la synthèse IA et la validation humaine doivent être conservées dans des champs et versions distincts.</w:t>
            </w:r>
          </w:p>
        </w:tc>
      </w:tr>
    </w:tbl>
    <w:p w:rsidR="00590C70" w:rsidRDefault="00590C70">
      <w:pPr>
        <w:rPr>
          <w:rFonts w:hint="eastAsia"/>
        </w:rPr>
      </w:pPr>
    </w:p>
    <w:p w:rsidR="00590C70" w:rsidRDefault="00D04C8E">
      <w:pPr>
        <w:pStyle w:val="Titre3"/>
      </w:pPr>
      <w:r>
        <w:t>Décisions à valider</w:t>
      </w:r>
    </w:p>
    <w:tbl>
      <w:tblPr>
        <w:tblStyle w:val="Grilledutableau"/>
        <w:tblW w:w="0" w:type="auto"/>
        <w:jc w:val="center"/>
        <w:tblLook w:val="04A0"/>
      </w:tblPr>
      <w:tblGrid>
        <w:gridCol w:w="4637"/>
        <w:gridCol w:w="4637"/>
        <w:gridCol w:w="4637"/>
      </w:tblGrid>
      <w:tr w:rsidR="00590C70">
        <w:trPr>
          <w:jc w:val="center"/>
        </w:trPr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Sujet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Décision / hypothèse actuelle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Validation Nicolas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Validation IA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Aucune action sensible n’est exécutée automatiquement sans règle explicite.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Conservation audio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Durée et droits d’accès à définir selon les besoins et obligations.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  <w:tr w:rsidR="00590C70">
        <w:trPr>
          <w:jc w:val="center"/>
        </w:trPr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Visibilité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Chaque note ou communication possède un niveau : privé, équipe, direction, client ou partenaire.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compléter</w:t>
            </w:r>
          </w:p>
        </w:tc>
      </w:tr>
    </w:tbl>
    <w:p w:rsidR="00590C70" w:rsidRDefault="00D04C8E">
      <w:pPr>
        <w:pStyle w:val="Titre1"/>
      </w:pPr>
      <w:r>
        <w:lastRenderedPageBreak/>
        <w:t>11. Architecture SaaS, sécurité et droits</w:t>
      </w:r>
    </w:p>
    <w:p w:rsidR="00590C70" w:rsidRDefault="00D04C8E">
      <w:pPr>
        <w:pStyle w:val="Lead"/>
        <w:rPr>
          <w:rFonts w:hint="eastAsia"/>
        </w:rPr>
      </w:pPr>
      <w:r>
        <w:t xml:space="preserve">Le multitenant et les permissions doivent être prévus dès la première version, même si </w:t>
      </w:r>
      <w:r>
        <w:t>SoftWhere est le premier utilisateur.</w:t>
      </w:r>
    </w:p>
    <w:p w:rsidR="00590C70" w:rsidRDefault="00D04C8E">
      <w:pPr>
        <w:pStyle w:val="Titre2"/>
      </w:pPr>
      <w:r>
        <w:t>Isolation et configuration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Isolation stricte des données par tenant.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Paramétrage des connecteurs, catalogues, modèles de communication et règles de contrôle par tenant.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 xml:space="preserve">Possibilité de mutualiser les modèles génériques </w:t>
      </w:r>
      <w:r>
        <w:t>sans partager les données clients.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Personnalisation de l’identité visuelle et des domaines pour la marque blanche.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Journal d’audit global des connexions, imports, exports et modifications sensibles.</w:t>
      </w:r>
    </w:p>
    <w:p w:rsidR="00590C70" w:rsidRDefault="00D04C8E">
      <w:pPr>
        <w:pStyle w:val="Titre2"/>
      </w:pPr>
      <w:r>
        <w:t>Gestion des rôles</w:t>
      </w:r>
    </w:p>
    <w:tbl>
      <w:tblPr>
        <w:tblStyle w:val="Grilledutableau"/>
        <w:tblW w:w="0" w:type="auto"/>
        <w:tblLook w:val="04A0"/>
      </w:tblPr>
      <w:tblGrid>
        <w:gridCol w:w="4637"/>
        <w:gridCol w:w="4637"/>
        <w:gridCol w:w="4637"/>
      </w:tblGrid>
      <w:tr w:rsidR="00590C70"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Rôle indicatif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Périmètre</w:t>
            </w:r>
          </w:p>
        </w:tc>
        <w:tc>
          <w:tcPr>
            <w:tcW w:w="4637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Droits particu</w:t>
            </w:r>
            <w:r>
              <w:rPr>
                <w:b/>
                <w:color w:val="FFFFFF"/>
                <w:sz w:val="18"/>
              </w:rPr>
              <w:t>liers</w:t>
            </w:r>
          </w:p>
        </w:tc>
      </w:tr>
      <w:tr w:rsidR="00590C70"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Administrateur plateforme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Tous tenants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Configuration et supervision</w:t>
            </w:r>
          </w:p>
        </w:tc>
      </w:tr>
      <w:tr w:rsidR="00590C70"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Direction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Tenant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Marges, achats, exports, validation</w:t>
            </w:r>
          </w:p>
        </w:tc>
      </w:tr>
      <w:tr w:rsidR="00590C70"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Gestionnaire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Clients affectés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Parc, anomalies, déploiements</w:t>
            </w:r>
          </w:p>
        </w:tc>
      </w:tr>
      <w:tr w:rsidR="00590C70"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Commercial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Portefeuille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Études, offres, visibilité tarifaire </w:t>
            </w:r>
            <w:r>
              <w:rPr>
                <w:color w:val="1B1B1F"/>
                <w:sz w:val="18"/>
              </w:rPr>
              <w:t>définie</w:t>
            </w:r>
          </w:p>
        </w:tc>
      </w:tr>
      <w:tr w:rsidR="00590C70"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Support N1/N2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Sites et services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Tickets, diagnostics, communications</w:t>
            </w:r>
          </w:p>
        </w:tc>
      </w:tr>
      <w:tr w:rsidR="00590C70"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Facturation / comptabilité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Factures et achats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Imports, contrôles, corrections</w:t>
            </w:r>
          </w:p>
        </w:tc>
      </w:tr>
      <w:tr w:rsidR="00590C70"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Utilisateur client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Son organisation</w:t>
            </w:r>
          </w:p>
        </w:tc>
        <w:tc>
          <w:tcPr>
            <w:tcW w:w="4637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Parc, tickets, documents selon droits</w:t>
            </w:r>
          </w:p>
        </w:tc>
      </w:tr>
    </w:tbl>
    <w:p w:rsidR="00590C70" w:rsidRDefault="00D04C8E">
      <w:pPr>
        <w:pStyle w:val="Titre1"/>
      </w:pPr>
      <w:r>
        <w:lastRenderedPageBreak/>
        <w:t>12. Roadmap recommandée</w:t>
      </w:r>
    </w:p>
    <w:p w:rsidR="00590C70" w:rsidRDefault="00D04C8E">
      <w:pPr>
        <w:pStyle w:val="Lead"/>
        <w:rPr>
          <w:rFonts w:hint="eastAsia"/>
        </w:rPr>
      </w:pPr>
      <w:r>
        <w:t>L’ordre proposé limite les dépendances et permet d’obtenir rapidement une première valeur opérationnelle.</w:t>
      </w:r>
    </w:p>
    <w:p w:rsidR="00590C70" w:rsidRDefault="00D04C8E">
      <w:pPr>
        <w:keepLines/>
        <w:jc w:val="center"/>
        <w:rPr>
          <w:rFonts w:hint="eastAsia"/>
        </w:rPr>
      </w:pPr>
      <w:r>
        <w:rPr>
          <w:noProof/>
          <w:lang w:val="fr-FR" w:eastAsia="fr-FR"/>
        </w:rPr>
        <w:drawing>
          <wp:inline distT="0" distB="0" distL="0" distR="0">
            <wp:extent cx="9509760" cy="45311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_roadmap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509760" cy="45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tblLook w:val="04A0"/>
      </w:tblPr>
      <w:tblGrid>
        <w:gridCol w:w="3478"/>
        <w:gridCol w:w="3478"/>
        <w:gridCol w:w="3478"/>
        <w:gridCol w:w="3478"/>
      </w:tblGrid>
      <w:tr w:rsidR="00590C70">
        <w:tc>
          <w:tcPr>
            <w:tcW w:w="3478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Phase</w:t>
            </w:r>
          </w:p>
        </w:tc>
        <w:tc>
          <w:tcPr>
            <w:tcW w:w="3478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Livrables</w:t>
            </w:r>
          </w:p>
        </w:tc>
        <w:tc>
          <w:tcPr>
            <w:tcW w:w="3478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Valeur produite</w:t>
            </w:r>
          </w:p>
        </w:tc>
        <w:tc>
          <w:tcPr>
            <w:tcW w:w="3478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Critère de sortie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0 — Cadrage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Modèle de données, statuts, identifiants, sources de vérité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Base commune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Validation </w:t>
            </w:r>
            <w:r>
              <w:rPr>
                <w:color w:val="1B1B1F"/>
                <w:sz w:val="18"/>
              </w:rPr>
              <w:t>fonctionnelle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1 — Socle SaaS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Tenants, utilisateurs, clients, contacts, sites, catalogues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Référentiels fiables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Données de base utilisables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2 — Facturation client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VosFactures + CFAST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Parc facturé initial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Lignes rattachées aux clients/sites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3 — Achats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Prem</w:t>
            </w:r>
            <w:r>
              <w:rPr>
                <w:color w:val="1B1B1F"/>
                <w:sz w:val="18"/>
              </w:rPr>
              <w:t>ier connecteur puis autres fournisseurs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Marge et achats orphelins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Achats rapprochés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4 — Rapprochement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Règles, anomalies, workflows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Remplacement progressif de Mobilité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Contrôle mensuel exploitable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5 — Déploiements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Services prévisionnels et activation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Parc</w:t>
            </w:r>
            <w:r>
              <w:rPr>
                <w:color w:val="1B1B1F"/>
                <w:sz w:val="18"/>
              </w:rPr>
              <w:t xml:space="preserve"> mis à jour à la source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Première facture contrôlée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6 — Vue 360°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Synthèse client complète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Usage quotidien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Adoption interne</w:t>
            </w:r>
          </w:p>
        </w:tc>
      </w:tr>
      <w:tr w:rsidR="00590C70"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7 à 9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Études, support, communications, IA, portail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Extension SaaS</w:t>
            </w:r>
          </w:p>
        </w:tc>
        <w:tc>
          <w:tcPr>
            <w:tcW w:w="3478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Modules activables</w:t>
            </w:r>
          </w:p>
        </w:tc>
      </w:tr>
    </w:tbl>
    <w:p w:rsidR="00590C70" w:rsidRDefault="00D04C8E">
      <w:pPr>
        <w:pStyle w:val="Titre1"/>
      </w:pPr>
      <w:r>
        <w:lastRenderedPageBreak/>
        <w:t>13. Périmètre fonctionnel du lot 1</w:t>
      </w:r>
    </w:p>
    <w:p w:rsidR="00590C70" w:rsidRDefault="00D04C8E">
      <w:pPr>
        <w:pStyle w:val="Lead"/>
        <w:rPr>
          <w:rFonts w:hint="eastAsia"/>
        </w:rPr>
      </w:pPr>
      <w:r>
        <w:t xml:space="preserve">Le premier </w:t>
      </w:r>
      <w:r>
        <w:t>lot doit être volontairement limité mais totalement cohérent.</w:t>
      </w:r>
    </w:p>
    <w:p w:rsidR="00590C70" w:rsidRDefault="00D04C8E">
      <w:pPr>
        <w:pStyle w:val="Titre2"/>
      </w:pPr>
      <w:r>
        <w:t>Inclus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Comptes clients, contacts, comptes de facturation et sites.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Catalogue articles et table de correspondance externe.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Import VosFactures, CFAST Actif Telecom et CFAST Connextoo.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 xml:space="preserve">Création </w:t>
      </w:r>
      <w:r>
        <w:t>d’une première représentation du parc à partir de la facturation.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Import d’un premier fournisseur d’achat, idéalement Networth.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Rapprochement vente / achat / service.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Calcul de marge et liste des anomalies.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Historique des imports, erreurs et corrections ma</w:t>
      </w:r>
      <w:r>
        <w:t>nuelles.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Première vue parc client et vue de contrôle mensuel.</w:t>
      </w:r>
    </w:p>
    <w:p w:rsidR="00590C70" w:rsidRDefault="00D04C8E">
      <w:pPr>
        <w:pStyle w:val="Titre2"/>
      </w:pPr>
      <w:r>
        <w:t>Hors lot 1 mais préparé dans l’architecture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Portail client complet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Automatisations IA avancées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Campagnes de communication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Gestion documentaire exhaustive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Refonte complète du support</w:t>
      </w:r>
    </w:p>
    <w:p w:rsidR="00590C70" w:rsidRDefault="00D04C8E">
      <w:pPr>
        <w:pStyle w:val="Listepuces"/>
        <w:spacing w:after="40"/>
        <w:rPr>
          <w:rFonts w:hint="eastAsia"/>
        </w:rPr>
      </w:pPr>
      <w:r>
        <w:t>Marque blanc</w:t>
      </w:r>
      <w:r>
        <w:t>he commercialisée</w:t>
      </w:r>
    </w:p>
    <w:tbl>
      <w:tblPr>
        <w:tblW w:w="0" w:type="auto"/>
        <w:jc w:val="center"/>
        <w:tblLayout w:type="fixed"/>
        <w:tblLook w:val="04A0"/>
      </w:tblPr>
      <w:tblGrid>
        <w:gridCol w:w="13912"/>
      </w:tblGrid>
      <w:tr w:rsidR="00590C70">
        <w:trPr>
          <w:jc w:val="center"/>
        </w:trPr>
        <w:tc>
          <w:tcPr>
            <w:tcW w:w="13912" w:type="dxa"/>
            <w:shd w:val="clear" w:color="auto" w:fill="FCE7F3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D6007F"/>
              </w:rPr>
              <w:t xml:space="preserve">Critère de réussite — </w:t>
            </w:r>
            <w:r>
              <w:rPr>
                <w:color w:val="1B1B1F"/>
              </w:rPr>
              <w:t>Le lot 1 est validé lorsque SISO explique de manière fiable les écarts entre ce qui est facturé, ce qui est acheté et ce qui devrait apparaître dans le parc.</w:t>
            </w:r>
          </w:p>
        </w:tc>
      </w:tr>
    </w:tbl>
    <w:p w:rsidR="00590C70" w:rsidRDefault="00590C70">
      <w:pPr>
        <w:rPr>
          <w:rFonts w:hint="eastAsia"/>
        </w:rPr>
      </w:pPr>
    </w:p>
    <w:p w:rsidR="00590C70" w:rsidRDefault="00D04C8E">
      <w:pPr>
        <w:pStyle w:val="Titre1"/>
      </w:pPr>
      <w:r>
        <w:lastRenderedPageBreak/>
        <w:t>14. Questions ouvertes et journal de décisions</w:t>
      </w:r>
    </w:p>
    <w:p w:rsidR="00590C70" w:rsidRDefault="00D04C8E">
      <w:pPr>
        <w:pStyle w:val="Lead"/>
        <w:rPr>
          <w:rFonts w:hint="eastAsia"/>
        </w:rPr>
      </w:pPr>
      <w:r>
        <w:t>Cette par</w:t>
      </w:r>
      <w:r>
        <w:t>tie est destinée à être alimentée au fil des échanges avec Nicolas.</w:t>
      </w:r>
    </w:p>
    <w:tbl>
      <w:tblPr>
        <w:tblStyle w:val="Grilledutableau"/>
        <w:tblW w:w="0" w:type="auto"/>
        <w:tblLook w:val="04A0"/>
      </w:tblPr>
      <w:tblGrid>
        <w:gridCol w:w="2782"/>
        <w:gridCol w:w="2782"/>
        <w:gridCol w:w="2782"/>
        <w:gridCol w:w="2782"/>
        <w:gridCol w:w="2782"/>
      </w:tblGrid>
      <w:tr w:rsidR="00590C70"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N°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Sujet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Question / décision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Responsable</w:t>
            </w:r>
          </w:p>
        </w:tc>
        <w:tc>
          <w:tcPr>
            <w:tcW w:w="2782" w:type="dxa"/>
            <w:shd w:val="clear" w:color="auto" w:fill="1B1B1F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Statut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Q01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Identifiants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Quel identifiant interne unique pour les clients, sites et services ?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Seb / Nicolas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valider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Q02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Facturation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Le compte </w:t>
            </w:r>
            <w:r>
              <w:rPr>
                <w:color w:val="1B1B1F"/>
                <w:sz w:val="18"/>
              </w:rPr>
              <w:t>de facturation est-il rattaché directement aux services ou via le site ?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Nicolas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valider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Q03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Historique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Quelle profondeur de conservation pour les données brutes importées ?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Nicolas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valider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Q04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Mapping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Quel écran de traitement des articles, clients e</w:t>
            </w:r>
            <w:r>
              <w:rPr>
                <w:color w:val="1B1B1F"/>
                <w:sz w:val="18"/>
              </w:rPr>
              <w:t>t services non reconnus ?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Seb / Nicolas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concevoir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Q05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Parc initial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Quelle source sert à initialiser le parc lors de la première migration ?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Seb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arbitrer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Q06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Marges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Comment gérer commissions, remises, paliers et facturations non mensuelles ?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Seb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À </w:t>
            </w:r>
            <w:r>
              <w:rPr>
                <w:color w:val="1B1B1F"/>
                <w:sz w:val="18"/>
              </w:rPr>
              <w:t>détailler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Q07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Résiliations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Quelle date prévaut entre demande, confirmation fournisseur et fin de facturation ?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Seb / Nicolas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valider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Q08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SaaS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Base unique avec tenant_id ou bases séparées selon les clients ?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Nicolas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Décision technique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Q09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Droits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 xml:space="preserve">Quels </w:t>
            </w:r>
            <w:r>
              <w:rPr>
                <w:color w:val="1B1B1F"/>
                <w:sz w:val="18"/>
              </w:rPr>
              <w:t>rôles voient les coûts d’achat et les marges ?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Seb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définir</w:t>
            </w:r>
          </w:p>
        </w:tc>
      </w:tr>
      <w:tr w:rsidR="00590C70"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Q10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b/>
                <w:color w:val="1B1B1F"/>
                <w:sz w:val="18"/>
              </w:rPr>
              <w:t>Migration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Quelles données historiques de Mobilité doivent être reprises ?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Seb / Nicolas</w:t>
            </w:r>
          </w:p>
        </w:tc>
        <w:tc>
          <w:tcPr>
            <w:tcW w:w="2782" w:type="dxa"/>
            <w:vAlign w:val="center"/>
          </w:tcPr>
          <w:p w:rsidR="00590C70" w:rsidRDefault="00D04C8E">
            <w:pPr>
              <w:spacing w:after="40"/>
              <w:rPr>
                <w:rFonts w:hint="eastAsia"/>
              </w:rPr>
            </w:pPr>
            <w:r>
              <w:rPr>
                <w:color w:val="1B1B1F"/>
                <w:sz w:val="18"/>
              </w:rPr>
              <w:t>À inventorier</w:t>
            </w:r>
          </w:p>
        </w:tc>
      </w:tr>
    </w:tbl>
    <w:p w:rsidR="00590C70" w:rsidRDefault="00D04C8E">
      <w:pPr>
        <w:pStyle w:val="Titre2"/>
      </w:pPr>
      <w:r>
        <w:t>Notes complémentaires</w:t>
      </w:r>
    </w:p>
    <w:p w:rsidR="00590C70" w:rsidRDefault="00D04C8E">
      <w:pPr>
        <w:rPr>
          <w:rFonts w:hint="eastAsia"/>
        </w:rPr>
      </w:pPr>
      <w:r>
        <w:rPr>
          <w:color w:val="B7BDC5"/>
        </w:rPr>
        <w:t>_________________________________________________________________</w:t>
      </w:r>
      <w:r>
        <w:rPr>
          <w:color w:val="B7BDC5"/>
        </w:rPr>
        <w:t>_______________________________________</w:t>
      </w:r>
    </w:p>
    <w:p w:rsidR="00590C70" w:rsidRDefault="00D04C8E">
      <w:pPr>
        <w:rPr>
          <w:rFonts w:hint="eastAsia"/>
        </w:rPr>
      </w:pPr>
      <w:r>
        <w:rPr>
          <w:color w:val="B7BDC5"/>
        </w:rPr>
        <w:t>________________________________________________________________________________________________________</w:t>
      </w:r>
    </w:p>
    <w:p w:rsidR="00590C70" w:rsidRDefault="00D04C8E">
      <w:pPr>
        <w:rPr>
          <w:rFonts w:hint="eastAsia"/>
        </w:rPr>
      </w:pPr>
      <w:r>
        <w:rPr>
          <w:color w:val="B7BDC5"/>
        </w:rPr>
        <w:t>________________________________________________________________________________________________________</w:t>
      </w:r>
    </w:p>
    <w:p w:rsidR="00590C70" w:rsidRDefault="00D04C8E">
      <w:pPr>
        <w:rPr>
          <w:rFonts w:hint="eastAsia"/>
        </w:rPr>
      </w:pPr>
      <w:r>
        <w:rPr>
          <w:color w:val="B7BDC5"/>
        </w:rPr>
        <w:t>______</w:t>
      </w:r>
      <w:r>
        <w:rPr>
          <w:color w:val="B7BDC5"/>
        </w:rPr>
        <w:t>__________________________________________________________________________________________________</w:t>
      </w:r>
    </w:p>
    <w:p w:rsidR="00590C70" w:rsidRDefault="00D04C8E">
      <w:pPr>
        <w:rPr>
          <w:rFonts w:hint="eastAsia"/>
        </w:rPr>
      </w:pPr>
      <w:r>
        <w:rPr>
          <w:color w:val="B7BDC5"/>
        </w:rPr>
        <w:t>________________________________________________________________________________________________________</w:t>
      </w:r>
    </w:p>
    <w:p w:rsidR="00590C70" w:rsidRDefault="00D04C8E">
      <w:pPr>
        <w:rPr>
          <w:rFonts w:hint="eastAsia"/>
        </w:rPr>
      </w:pPr>
      <w:r>
        <w:rPr>
          <w:color w:val="B7BDC5"/>
        </w:rPr>
        <w:t>____________________________________________________</w:t>
      </w:r>
      <w:r>
        <w:rPr>
          <w:color w:val="B7BDC5"/>
        </w:rPr>
        <w:t>____________________________________________________</w:t>
      </w:r>
    </w:p>
    <w:p w:rsidR="00590C70" w:rsidRDefault="00D04C8E">
      <w:pPr>
        <w:rPr>
          <w:rFonts w:hint="eastAsia"/>
        </w:rPr>
      </w:pPr>
      <w:r>
        <w:rPr>
          <w:color w:val="B7BDC5"/>
        </w:rPr>
        <w:lastRenderedPageBreak/>
        <w:t>________________________________________________________________________________________________________</w:t>
      </w:r>
    </w:p>
    <w:p w:rsidR="00590C70" w:rsidRDefault="00D04C8E">
      <w:pPr>
        <w:rPr>
          <w:rFonts w:hint="eastAsia"/>
        </w:rPr>
      </w:pPr>
      <w:r>
        <w:rPr>
          <w:color w:val="B7BDC5"/>
        </w:rPr>
        <w:t>__________________________________________________________________________________________________</w:t>
      </w:r>
      <w:r>
        <w:rPr>
          <w:color w:val="B7BDC5"/>
        </w:rPr>
        <w:t>______</w:t>
      </w:r>
    </w:p>
    <w:sectPr w:rsidR="00590C70" w:rsidSect="00C44E33">
      <w:headerReference w:type="default" r:id="rId16"/>
      <w:footerReference w:type="default" r:id="rId17"/>
      <w:pgSz w:w="15840" w:h="12240" w:orient="landscape"/>
      <w:pgMar w:top="426" w:right="964" w:bottom="426" w:left="96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C8E" w:rsidRDefault="00D04C8E" w:rsidP="00590C70">
      <w:pPr>
        <w:spacing w:after="0" w:line="240" w:lineRule="auto"/>
      </w:pPr>
      <w:r>
        <w:separator/>
      </w:r>
    </w:p>
  </w:endnote>
  <w:endnote w:type="continuationSeparator" w:id="1">
    <w:p w:rsidR="00D04C8E" w:rsidRDefault="00D04C8E" w:rsidP="00590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pto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C70" w:rsidRDefault="00D04C8E">
    <w:pPr>
      <w:pStyle w:val="Pieddepage"/>
      <w:jc w:val="center"/>
      <w:rPr>
        <w:rFonts w:hint="eastAsia"/>
      </w:rPr>
    </w:pPr>
    <w:r>
      <w:rPr>
        <w:color w:val="6B7280"/>
        <w:sz w:val="16"/>
      </w:rPr>
      <w:t>Document de travail — Version 1.0 — 21 juillet 2026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C8E" w:rsidRDefault="00D04C8E" w:rsidP="00590C70">
      <w:pPr>
        <w:spacing w:after="0" w:line="240" w:lineRule="auto"/>
      </w:pPr>
      <w:r>
        <w:separator/>
      </w:r>
    </w:p>
  </w:footnote>
  <w:footnote w:type="continuationSeparator" w:id="1">
    <w:p w:rsidR="00D04C8E" w:rsidRDefault="00D04C8E" w:rsidP="00590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C70" w:rsidRDefault="00D04C8E">
    <w:pPr>
      <w:pStyle w:val="En-tte"/>
      <w:jc w:val="right"/>
      <w:rPr>
        <w:rFonts w:hint="eastAsia"/>
      </w:rPr>
    </w:pPr>
    <w:r>
      <w:rPr>
        <w:color w:val="6B7280"/>
        <w:sz w:val="16"/>
      </w:rPr>
      <w:t>SISO — Architecture fonctionnelle et modulaire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730"/>
    <w:rsid w:val="00034616"/>
    <w:rsid w:val="0006063C"/>
    <w:rsid w:val="0015074B"/>
    <w:rsid w:val="0029639D"/>
    <w:rsid w:val="00326F90"/>
    <w:rsid w:val="00590C70"/>
    <w:rsid w:val="00AA1D8D"/>
    <w:rsid w:val="00B47730"/>
    <w:rsid w:val="00C44E33"/>
    <w:rsid w:val="00CB0664"/>
    <w:rsid w:val="00D04C8E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ptos" w:hAnsi="Aptos"/>
      <w:sz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pageBreakBefore/>
      <w:spacing w:before="200"/>
      <w:outlineLvl w:val="0"/>
    </w:pPr>
    <w:rPr>
      <w:rFonts w:asciiTheme="majorHAnsi" w:eastAsiaTheme="majorEastAsia" w:hAnsiTheme="majorHAnsi" w:cstheme="majorBidi"/>
      <w:b/>
      <w:bCs/>
      <w:color w:val="D6007F"/>
      <w:sz w:val="40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B1B1F"/>
      <w:sz w:val="30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2563A6"/>
      <w:sz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B1B1F"/>
      <w:spacing w:val="5"/>
      <w:kern w:val="28"/>
      <w:sz w:val="60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Emphasepl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pl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rsid w:val="00590C70"/>
    <w:rPr>
      <w:rFonts w:ascii="Aptos" w:hAnsi="Aptos"/>
      <w:color w:val="6B7280"/>
      <w:sz w:val="26"/>
    </w:rPr>
  </w:style>
  <w:style w:type="paragraph" w:customStyle="1" w:styleId="Small">
    <w:name w:val="Small"/>
    <w:rsid w:val="00590C70"/>
    <w:rPr>
      <w:rFonts w:ascii="Aptos" w:hAnsi="Aptos"/>
      <w:color w:val="6B7280"/>
      <w:sz w:val="16"/>
    </w:rPr>
  </w:style>
  <w:style w:type="paragraph" w:customStyle="1" w:styleId="Callout">
    <w:name w:val="Callout"/>
    <w:rsid w:val="00590C70"/>
    <w:rPr>
      <w:rFonts w:ascii="Aptos" w:hAnsi="Aptos"/>
      <w:color w:val="1B1B1F"/>
      <w:sz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44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4E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2553</Words>
  <Characters>14043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16563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SISO — Architecture fonctionnelle et modulaire</dc:title>
  <dc:subject>Refonte de l’extranet SoftWhere et de l’intranet Mobilité</dc:subject>
  <dc:creator>SoftWhere</dc:creator>
  <cp:keywords/>
  <dc:description>generated by python-docx</dc:description>
  <cp:lastModifiedBy>Sébastien Le Jeune</cp:lastModifiedBy>
  <cp:revision>2</cp:revision>
  <dcterms:created xsi:type="dcterms:W3CDTF">2013-12-23T23:15:00Z</dcterms:created>
  <dcterms:modified xsi:type="dcterms:W3CDTF">2026-07-22T14:25:00Z</dcterms:modified>
  <cp:category/>
</cp:coreProperties>
</file>